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AE35" w14:textId="77777777" w:rsidR="003C0480" w:rsidRPr="003C0480" w:rsidRDefault="003C0480" w:rsidP="003C0480">
      <w:pPr>
        <w:jc w:val="center"/>
        <w:rPr>
          <w:b/>
          <w:bCs/>
          <w:u w:val="single"/>
          <w:rtl/>
        </w:rPr>
      </w:pPr>
      <w:r w:rsidRPr="003C0480">
        <w:rPr>
          <w:b/>
          <w:bCs/>
          <w:u w:val="single"/>
          <w:rtl/>
        </w:rPr>
        <w:t>הנחיות לבעל היתר: פינוי מוסדר של פסולת בניין ועודפי עפר</w:t>
      </w:r>
    </w:p>
    <w:p w14:paraId="2985D2F0" w14:textId="77777777" w:rsidR="003C0480" w:rsidRPr="003C0480" w:rsidRDefault="003C0480" w:rsidP="003C0480">
      <w:pPr>
        <w:rPr>
          <w:u w:val="single"/>
          <w:rtl/>
        </w:rPr>
      </w:pPr>
      <w:r w:rsidRPr="003C0480">
        <w:rPr>
          <w:u w:val="single"/>
          <w:rtl/>
        </w:rPr>
        <w:t>שלב א: תנאים לקבלת אישור תחילת עבודות</w:t>
      </w:r>
    </w:p>
    <w:p w14:paraId="0DFA170F" w14:textId="77777777" w:rsidR="003C0480" w:rsidRPr="003C0480" w:rsidRDefault="003C0480" w:rsidP="003C0480">
      <w:pPr>
        <w:numPr>
          <w:ilvl w:val="0"/>
          <w:numId w:val="1"/>
        </w:numPr>
        <w:rPr>
          <w:rtl/>
        </w:rPr>
      </w:pPr>
      <w:r w:rsidRPr="003C0480">
        <w:rPr>
          <w:rtl/>
        </w:rPr>
        <w:t>התקשרות עם אתר מורשה: על בעל ההיתר להתקשר עם אתר טיפול וסילוק פסולת המופיע ברשימת האתרים המורשים של המשרד להגנת הסביבה. חובה לוודא כי האתר מופיע ברשימה המעודכנת במועד הגשת הבקשה.</w:t>
      </w:r>
    </w:p>
    <w:p w14:paraId="6DCD042A" w14:textId="4B64EEB4" w:rsidR="003C0480" w:rsidRDefault="003C0480" w:rsidP="003C0480">
      <w:pPr>
        <w:numPr>
          <w:ilvl w:val="0"/>
          <w:numId w:val="1"/>
        </w:numPr>
      </w:pPr>
      <w:r w:rsidRPr="003C0480">
        <w:rPr>
          <w:rtl/>
        </w:rPr>
        <w:t>אומדן כמויות</w:t>
      </w:r>
      <w:r>
        <w:rPr>
          <w:rFonts w:hint="cs"/>
          <w:rtl/>
        </w:rPr>
        <w:t xml:space="preserve"> מינימליות</w:t>
      </w:r>
      <w:r w:rsidRPr="003C0480">
        <w:rPr>
          <w:rtl/>
        </w:rPr>
        <w:t>: יש להגיש הצהרה על כמות פסולת הבניין הצפויה בהתאם למפתחות החישוב המינימליים. לדוגמה, עבור עבודות הריסה יש לחשב לפחות 150 טון לכל 100 מ"ר מבנה. עבור בנייה רגילה למגורים יש לחשב לפחות 20 טון לכל 100 מ"ר.</w:t>
      </w:r>
    </w:p>
    <w:tbl>
      <w:tblPr>
        <w:bidiVisual/>
        <w:tblW w:w="0" w:type="auto"/>
        <w:tblCellSpacing w:w="15" w:type="dxa"/>
        <w:tblCellMar>
          <w:left w:w="0" w:type="dxa"/>
          <w:right w:w="0" w:type="dxa"/>
        </w:tblCellMar>
        <w:tblLook w:val="04A0" w:firstRow="1" w:lastRow="0" w:firstColumn="1" w:lastColumn="0" w:noHBand="0" w:noVBand="1"/>
      </w:tblPr>
      <w:tblGrid>
        <w:gridCol w:w="3299"/>
        <w:gridCol w:w="4991"/>
      </w:tblGrid>
      <w:tr w:rsidR="003C0480" w:rsidRPr="003C0480" w14:paraId="376D446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AD6809" w14:textId="77777777" w:rsidR="003C0480" w:rsidRPr="003C0480" w:rsidRDefault="003C0480" w:rsidP="003C0480">
            <w:pPr>
              <w:ind w:left="720"/>
            </w:pPr>
            <w:r w:rsidRPr="003C0480">
              <w:rPr>
                <w:b/>
                <w:bCs/>
                <w:rtl/>
              </w:rPr>
              <w:t>קבוצת ייחוס / סוג הבנייה</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7CDE6A" w14:textId="77777777" w:rsidR="003C0480" w:rsidRPr="003C0480" w:rsidRDefault="003C0480" w:rsidP="003C0480">
            <w:pPr>
              <w:ind w:left="720"/>
              <w:rPr>
                <w:rtl/>
              </w:rPr>
            </w:pPr>
            <w:r w:rsidRPr="003C0480">
              <w:rPr>
                <w:b/>
                <w:bCs/>
                <w:rtl/>
              </w:rPr>
              <w:t>הערכת כמות פסולת ליחידה של 100 מ"ר בנוי</w:t>
            </w:r>
          </w:p>
        </w:tc>
      </w:tr>
      <w:tr w:rsidR="003C0480" w:rsidRPr="003C0480" w14:paraId="74435E4E" w14:textId="77777777" w:rsidTr="003C0480">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E4F5BB" w14:textId="0D7A260E" w:rsidR="003C0480" w:rsidRPr="003C0480" w:rsidRDefault="003C0480" w:rsidP="003C0480">
            <w:pPr>
              <w:ind w:left="720"/>
              <w:rPr>
                <w:rtl/>
              </w:rPr>
            </w:pPr>
            <w:r w:rsidRPr="003C0480">
              <w:rPr>
                <w:b/>
                <w:bCs/>
                <w:rtl/>
              </w:rPr>
              <w:t>הריסה</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BB4057C" w14:textId="0CF3401D" w:rsidR="003C0480" w:rsidRPr="003C0480" w:rsidRDefault="003C0480" w:rsidP="003C0480">
            <w:pPr>
              <w:ind w:left="720"/>
            </w:pPr>
            <w:r>
              <w:rPr>
                <w:rFonts w:hint="cs"/>
                <w:rtl/>
              </w:rPr>
              <w:t xml:space="preserve">לפחות </w:t>
            </w:r>
            <w:r w:rsidRPr="003C0480">
              <w:rPr>
                <w:rFonts w:hint="cs"/>
                <w:b/>
                <w:bCs/>
                <w:rtl/>
              </w:rPr>
              <w:t>150</w:t>
            </w:r>
            <w:r>
              <w:rPr>
                <w:rFonts w:hint="cs"/>
                <w:rtl/>
              </w:rPr>
              <w:t xml:space="preserve"> טון.</w:t>
            </w:r>
          </w:p>
        </w:tc>
      </w:tr>
      <w:tr w:rsidR="003C0480" w:rsidRPr="003C0480" w14:paraId="1AD04F1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85C4B4" w14:textId="77777777" w:rsidR="003C0480" w:rsidRPr="003C0480" w:rsidRDefault="003C0480" w:rsidP="003C0480">
            <w:pPr>
              <w:ind w:left="720"/>
              <w:rPr>
                <w:rtl/>
              </w:rPr>
            </w:pPr>
            <w:r w:rsidRPr="003C0480">
              <w:rPr>
                <w:b/>
                <w:bCs/>
                <w:rtl/>
              </w:rPr>
              <w:t>בנייה רגילה למגורים</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D81CA9" w14:textId="77777777" w:rsidR="003C0480" w:rsidRPr="003C0480" w:rsidRDefault="003C0480" w:rsidP="003C0480">
            <w:pPr>
              <w:ind w:left="720"/>
              <w:rPr>
                <w:rtl/>
              </w:rPr>
            </w:pPr>
            <w:r w:rsidRPr="003C0480">
              <w:rPr>
                <w:rtl/>
              </w:rPr>
              <w:t xml:space="preserve">לפחות </w:t>
            </w:r>
            <w:r w:rsidRPr="003C0480">
              <w:rPr>
                <w:b/>
                <w:bCs/>
                <w:rtl/>
              </w:rPr>
              <w:t>20 טון</w:t>
            </w:r>
            <w:r w:rsidRPr="003C0480">
              <w:rPr>
                <w:rtl/>
              </w:rPr>
              <w:t xml:space="preserve"> </w:t>
            </w:r>
          </w:p>
        </w:tc>
      </w:tr>
      <w:tr w:rsidR="003C0480" w:rsidRPr="003C0480" w14:paraId="412B8E6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7815EE" w14:textId="77777777" w:rsidR="003C0480" w:rsidRPr="003C0480" w:rsidRDefault="003C0480" w:rsidP="003C0480">
            <w:pPr>
              <w:ind w:left="720"/>
              <w:rPr>
                <w:rtl/>
              </w:rPr>
            </w:pPr>
            <w:r w:rsidRPr="003C0480">
              <w:rPr>
                <w:b/>
                <w:bCs/>
                <w:rtl/>
              </w:rPr>
              <w:t>בנייה ציבורית ומשרדים</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EE11BE" w14:textId="77777777" w:rsidR="003C0480" w:rsidRPr="003C0480" w:rsidRDefault="003C0480" w:rsidP="003C0480">
            <w:pPr>
              <w:ind w:left="720"/>
              <w:rPr>
                <w:rtl/>
              </w:rPr>
            </w:pPr>
            <w:r w:rsidRPr="003C0480">
              <w:rPr>
                <w:rtl/>
              </w:rPr>
              <w:t xml:space="preserve">לפחות </w:t>
            </w:r>
            <w:r w:rsidRPr="003C0480">
              <w:rPr>
                <w:b/>
                <w:bCs/>
                <w:rtl/>
              </w:rPr>
              <w:t>15 טון</w:t>
            </w:r>
            <w:r w:rsidRPr="003C0480">
              <w:rPr>
                <w:rtl/>
              </w:rPr>
              <w:t xml:space="preserve"> </w:t>
            </w:r>
          </w:p>
        </w:tc>
      </w:tr>
      <w:tr w:rsidR="003C0480" w:rsidRPr="003C0480" w14:paraId="56E72A4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02B9DE" w14:textId="77777777" w:rsidR="003C0480" w:rsidRPr="003C0480" w:rsidRDefault="003C0480" w:rsidP="003C0480">
            <w:pPr>
              <w:ind w:left="720"/>
              <w:rPr>
                <w:rtl/>
              </w:rPr>
            </w:pPr>
            <w:r w:rsidRPr="003C0480">
              <w:rPr>
                <w:b/>
                <w:bCs/>
                <w:rtl/>
              </w:rPr>
              <w:t>מסחר, תעשייה וחקלאות</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A1592E" w14:textId="77777777" w:rsidR="003C0480" w:rsidRPr="003C0480" w:rsidRDefault="003C0480" w:rsidP="003C0480">
            <w:pPr>
              <w:ind w:left="720"/>
              <w:rPr>
                <w:rtl/>
              </w:rPr>
            </w:pPr>
            <w:r w:rsidRPr="003C0480">
              <w:rPr>
                <w:rtl/>
              </w:rPr>
              <w:t xml:space="preserve">לפחות </w:t>
            </w:r>
            <w:r w:rsidRPr="003C0480">
              <w:rPr>
                <w:b/>
                <w:bCs/>
                <w:rtl/>
              </w:rPr>
              <w:t>10 טון</w:t>
            </w:r>
            <w:r w:rsidRPr="003C0480">
              <w:rPr>
                <w:rtl/>
              </w:rPr>
              <w:t xml:space="preserve"> </w:t>
            </w:r>
          </w:p>
        </w:tc>
      </w:tr>
      <w:tr w:rsidR="003C0480" w:rsidRPr="003C0480" w14:paraId="3080B2C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4CD2B5" w14:textId="77777777" w:rsidR="003C0480" w:rsidRPr="003C0480" w:rsidRDefault="003C0480" w:rsidP="003C0480">
            <w:pPr>
              <w:ind w:left="720"/>
              <w:rPr>
                <w:rtl/>
              </w:rPr>
            </w:pPr>
            <w:r w:rsidRPr="003C0480">
              <w:rPr>
                <w:b/>
                <w:bCs/>
                <w:rtl/>
              </w:rPr>
              <w:t>בנייה טרומית למגורים</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3C5475" w14:textId="77777777" w:rsidR="003C0480" w:rsidRPr="003C0480" w:rsidRDefault="003C0480" w:rsidP="003C0480">
            <w:pPr>
              <w:ind w:left="720"/>
              <w:rPr>
                <w:rtl/>
              </w:rPr>
            </w:pPr>
            <w:r w:rsidRPr="003C0480">
              <w:rPr>
                <w:rtl/>
              </w:rPr>
              <w:t xml:space="preserve">לפחות </w:t>
            </w:r>
            <w:r w:rsidRPr="003C0480">
              <w:rPr>
                <w:b/>
                <w:bCs/>
                <w:rtl/>
              </w:rPr>
              <w:t>6 טון</w:t>
            </w:r>
            <w:r w:rsidRPr="003C0480">
              <w:rPr>
                <w:rtl/>
              </w:rPr>
              <w:t xml:space="preserve"> </w:t>
            </w:r>
          </w:p>
        </w:tc>
      </w:tr>
      <w:tr w:rsidR="003C0480" w:rsidRPr="003C0480" w14:paraId="1A16EFD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57E89E" w14:textId="77777777" w:rsidR="003C0480" w:rsidRPr="003C0480" w:rsidRDefault="003C0480" w:rsidP="003C0480">
            <w:pPr>
              <w:ind w:left="720"/>
              <w:rPr>
                <w:rtl/>
              </w:rPr>
            </w:pPr>
            <w:r w:rsidRPr="003C0480">
              <w:rPr>
                <w:b/>
                <w:bCs/>
                <w:rtl/>
              </w:rPr>
              <w:t>מרתפים</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83CB31" w14:textId="77777777" w:rsidR="003C0480" w:rsidRPr="003C0480" w:rsidRDefault="003C0480" w:rsidP="003C0480">
            <w:pPr>
              <w:ind w:left="720"/>
              <w:rPr>
                <w:rtl/>
              </w:rPr>
            </w:pPr>
            <w:r w:rsidRPr="003C0480">
              <w:rPr>
                <w:rtl/>
              </w:rPr>
              <w:t xml:space="preserve">לפחות </w:t>
            </w:r>
            <w:r w:rsidRPr="003C0480">
              <w:rPr>
                <w:b/>
                <w:bCs/>
                <w:rtl/>
              </w:rPr>
              <w:t>3 טון</w:t>
            </w:r>
            <w:r w:rsidRPr="003C0480">
              <w:rPr>
                <w:rtl/>
              </w:rPr>
              <w:t xml:space="preserve"> </w:t>
            </w:r>
          </w:p>
        </w:tc>
      </w:tr>
      <w:tr w:rsidR="003C0480" w:rsidRPr="003C0480" w14:paraId="27849C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FAF6AB" w14:textId="77777777" w:rsidR="003C0480" w:rsidRPr="003C0480" w:rsidRDefault="003C0480" w:rsidP="003C0480">
            <w:pPr>
              <w:ind w:left="720"/>
              <w:rPr>
                <w:rtl/>
              </w:rPr>
            </w:pPr>
            <w:r w:rsidRPr="003C0480">
              <w:rPr>
                <w:b/>
                <w:bCs/>
                <w:rtl/>
              </w:rPr>
              <w:t>חפירה / עודפי עפר</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D604D8" w14:textId="3C2E0F44" w:rsidR="003C0480" w:rsidRPr="003C0480" w:rsidRDefault="003C0480" w:rsidP="003C0480">
            <w:pPr>
              <w:ind w:left="720"/>
              <w:rPr>
                <w:rtl/>
              </w:rPr>
            </w:pPr>
            <w:r>
              <w:rPr>
                <w:rFonts w:hint="cs"/>
                <w:rtl/>
              </w:rPr>
              <w:t>200 מ"ק</w:t>
            </w:r>
            <w:r w:rsidRPr="003C0480">
              <w:rPr>
                <w:rtl/>
              </w:rPr>
              <w:t xml:space="preserve"> </w:t>
            </w:r>
            <w:r>
              <w:rPr>
                <w:rFonts w:hint="cs"/>
                <w:rtl/>
              </w:rPr>
              <w:t xml:space="preserve">על </w:t>
            </w:r>
            <w:r w:rsidRPr="003C0480">
              <w:rPr>
                <w:rtl/>
              </w:rPr>
              <w:t xml:space="preserve">100 מ"ק בנוי </w:t>
            </w:r>
          </w:p>
        </w:tc>
      </w:tr>
    </w:tbl>
    <w:p w14:paraId="4A2133A1" w14:textId="77777777" w:rsidR="003C0480" w:rsidRPr="003C0480" w:rsidRDefault="003C0480" w:rsidP="003C0480">
      <w:pPr>
        <w:ind w:left="720"/>
      </w:pPr>
    </w:p>
    <w:p w14:paraId="577799EE" w14:textId="77777777" w:rsidR="003C0480" w:rsidRPr="003C0480" w:rsidRDefault="003C0480" w:rsidP="003C0480">
      <w:pPr>
        <w:numPr>
          <w:ilvl w:val="0"/>
          <w:numId w:val="1"/>
        </w:numPr>
      </w:pPr>
      <w:r w:rsidRPr="003C0480">
        <w:rPr>
          <w:rtl/>
        </w:rPr>
        <w:t>הגשת מסמכים: יש להגיש באופן מקוון את טופס ההצהרה (נספח 1) בצירוף הסכם ההתקשרות עם האתר המורשה.</w:t>
      </w:r>
    </w:p>
    <w:p w14:paraId="50D5DD81" w14:textId="77777777" w:rsidR="003C0480" w:rsidRPr="003C0480" w:rsidRDefault="003C0480" w:rsidP="003C0480">
      <w:pPr>
        <w:numPr>
          <w:ilvl w:val="0"/>
          <w:numId w:val="1"/>
        </w:numPr>
      </w:pPr>
      <w:r w:rsidRPr="003C0480">
        <w:rPr>
          <w:rtl/>
        </w:rPr>
        <w:t>הובלה: על בעל ההיתר להתקשר עם מוביל מורשה המחזיק ברישיון עסק להובלת פסולת.</w:t>
      </w:r>
    </w:p>
    <w:p w14:paraId="379F7B26" w14:textId="77777777" w:rsidR="003C0480" w:rsidRPr="003C0480" w:rsidRDefault="003C0480" w:rsidP="003C0480">
      <w:pPr>
        <w:rPr>
          <w:u w:val="single"/>
          <w:rtl/>
        </w:rPr>
      </w:pPr>
      <w:r w:rsidRPr="003C0480">
        <w:rPr>
          <w:u w:val="single"/>
          <w:rtl/>
        </w:rPr>
        <w:t>שלב ב: במהלך הביצוע ולקראת תעודת גמר (טופס 4)</w:t>
      </w:r>
    </w:p>
    <w:p w14:paraId="7C44401C" w14:textId="3C178DFD" w:rsidR="003C0480" w:rsidRPr="003C0480" w:rsidRDefault="003C0480" w:rsidP="003C0480">
      <w:pPr>
        <w:numPr>
          <w:ilvl w:val="0"/>
          <w:numId w:val="2"/>
        </w:numPr>
        <w:rPr>
          <w:rtl/>
        </w:rPr>
      </w:pPr>
      <w:r w:rsidRPr="003C0480">
        <w:rPr>
          <w:rtl/>
        </w:rPr>
        <w:t>תעודות שקילה: בכניסה למפעל המחזור</w:t>
      </w:r>
      <w:r>
        <w:rPr>
          <w:rFonts w:hint="cs"/>
          <w:rtl/>
        </w:rPr>
        <w:t xml:space="preserve"> ו/או המטמנה</w:t>
      </w:r>
      <w:r w:rsidRPr="003C0480">
        <w:rPr>
          <w:rtl/>
        </w:rPr>
        <w:t xml:space="preserve"> מונפקות תעודות שקילה המהוות את האסמכתא לכמויות שנכנסו בפועל. יש לשמור תעודות אלו יחד עם חשבוניות המס.</w:t>
      </w:r>
    </w:p>
    <w:p w14:paraId="32E19B85" w14:textId="77777777" w:rsidR="003C0480" w:rsidRPr="003C0480" w:rsidRDefault="003C0480" w:rsidP="003C0480">
      <w:pPr>
        <w:numPr>
          <w:ilvl w:val="0"/>
          <w:numId w:val="2"/>
        </w:numPr>
      </w:pPr>
      <w:r w:rsidRPr="003C0480">
        <w:rPr>
          <w:rtl/>
        </w:rPr>
        <w:t>אישור קליטה סופי: תעודת גמר תינתן רק לאחר הטמנת/קליטת הפסולת באתר המורשה והצגת אישור רשמי מהאתר על הכמויות שפונו.</w:t>
      </w:r>
    </w:p>
    <w:p w14:paraId="78E4663B" w14:textId="77777777" w:rsidR="003C0480" w:rsidRPr="003C0480" w:rsidRDefault="003C0480" w:rsidP="003C0480">
      <w:pPr>
        <w:numPr>
          <w:ilvl w:val="0"/>
          <w:numId w:val="2"/>
        </w:numPr>
      </w:pPr>
      <w:r w:rsidRPr="003C0480">
        <w:rPr>
          <w:rtl/>
        </w:rPr>
        <w:t>פסולת עודפת: אם כמות הפסולת בפועל גבוהה מהאומדן הראשוני, יש לפנות גם את הכמות העודפת לאתר מורשה ולהציג אישור קליטה מתאים.</w:t>
      </w:r>
    </w:p>
    <w:p w14:paraId="6D32D021" w14:textId="77777777" w:rsidR="003C0480" w:rsidRPr="003C0480" w:rsidRDefault="003C0480" w:rsidP="003C0480">
      <w:pPr>
        <w:numPr>
          <w:ilvl w:val="0"/>
          <w:numId w:val="2"/>
        </w:numPr>
        <w:rPr>
          <w:rtl/>
        </w:rPr>
      </w:pPr>
      <w:r w:rsidRPr="003C0480">
        <w:rPr>
          <w:rtl/>
        </w:rPr>
        <w:t>דגשים חשובים:</w:t>
      </w:r>
    </w:p>
    <w:p w14:paraId="51677501" w14:textId="77C40C87" w:rsidR="003C0480" w:rsidRPr="003C0480" w:rsidRDefault="003C0480" w:rsidP="003C0480">
      <w:pPr>
        <w:numPr>
          <w:ilvl w:val="0"/>
          <w:numId w:val="3"/>
        </w:numPr>
        <w:rPr>
          <w:rtl/>
        </w:rPr>
      </w:pPr>
      <w:r w:rsidRPr="003C0480">
        <w:rPr>
          <w:rtl/>
        </w:rPr>
        <w:lastRenderedPageBreak/>
        <w:t>לא יתקבלו אישורים מקבלני פינוי פסולת, אלא רק מאתרי טיפול מורשים</w:t>
      </w:r>
      <w:r>
        <w:rPr>
          <w:rFonts w:hint="cs"/>
          <w:rtl/>
        </w:rPr>
        <w:t xml:space="preserve"> המופיעים באתר המשרד להגנת הסביבה</w:t>
      </w:r>
      <w:r w:rsidRPr="003C0480">
        <w:rPr>
          <w:rtl/>
        </w:rPr>
        <w:t>.</w:t>
      </w:r>
    </w:p>
    <w:p w14:paraId="09007A50" w14:textId="77777777" w:rsidR="003C0480" w:rsidRPr="003C0480" w:rsidRDefault="003C0480" w:rsidP="003C0480">
      <w:pPr>
        <w:numPr>
          <w:ilvl w:val="0"/>
          <w:numId w:val="3"/>
        </w:numPr>
        <w:rPr>
          <w:rtl/>
        </w:rPr>
      </w:pPr>
      <w:r w:rsidRPr="003C0480">
        <w:rPr>
          <w:rtl/>
        </w:rPr>
        <w:t>עצם ההתקשרות הכספית אינה מהווה תחליף לאישור על פינוי בפועל המבוסס על משקל.</w:t>
      </w:r>
    </w:p>
    <w:p w14:paraId="72610575" w14:textId="77777777" w:rsidR="003C0480" w:rsidRPr="003C0480" w:rsidRDefault="003C0480" w:rsidP="003C0480">
      <w:pPr>
        <w:numPr>
          <w:ilvl w:val="0"/>
          <w:numId w:val="3"/>
        </w:numPr>
        <w:rPr>
          <w:rtl/>
        </w:rPr>
      </w:pPr>
      <w:r w:rsidRPr="003C0480">
        <w:rPr>
          <w:rtl/>
        </w:rPr>
        <w:t>תעודת הגמר מותנית בכך שאתר העבודה נקי מכל פסולת בניין.</w:t>
      </w:r>
    </w:p>
    <w:p w14:paraId="4E9529D3" w14:textId="77777777" w:rsidR="00452FFD" w:rsidRPr="003C0480" w:rsidRDefault="00452FFD"/>
    <w:sectPr w:rsidR="00452FFD" w:rsidRPr="003C0480" w:rsidSect="002E10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0490C"/>
    <w:multiLevelType w:val="multilevel"/>
    <w:tmpl w:val="4740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3E1DE2"/>
    <w:multiLevelType w:val="multilevel"/>
    <w:tmpl w:val="2452D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C6787A"/>
    <w:multiLevelType w:val="multilevel"/>
    <w:tmpl w:val="6960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324295">
    <w:abstractNumId w:val="0"/>
  </w:num>
  <w:num w:numId="2" w16cid:durableId="2016223675">
    <w:abstractNumId w:val="1"/>
  </w:num>
  <w:num w:numId="3" w16cid:durableId="565576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80"/>
    <w:rsid w:val="00232CCC"/>
    <w:rsid w:val="002E1078"/>
    <w:rsid w:val="003C0480"/>
    <w:rsid w:val="00452FFD"/>
    <w:rsid w:val="00904B07"/>
    <w:rsid w:val="00C06F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BFF3"/>
  <w15:chartTrackingRefBased/>
  <w15:docId w15:val="{1A3AA9AF-4E6B-49A8-99E9-0C99ECEA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C0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0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04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04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04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04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04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04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04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C048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C048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3C048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C0480"/>
    <w:rPr>
      <w:rFonts w:eastAsiaTheme="majorEastAsia" w:cstheme="majorBidi"/>
      <w:i/>
      <w:iCs/>
      <w:color w:val="0F4761" w:themeColor="accent1" w:themeShade="BF"/>
    </w:rPr>
  </w:style>
  <w:style w:type="character" w:customStyle="1" w:styleId="50">
    <w:name w:val="כותרת 5 תו"/>
    <w:basedOn w:val="a0"/>
    <w:link w:val="5"/>
    <w:uiPriority w:val="9"/>
    <w:semiHidden/>
    <w:rsid w:val="003C0480"/>
    <w:rPr>
      <w:rFonts w:eastAsiaTheme="majorEastAsia" w:cstheme="majorBidi"/>
      <w:color w:val="0F4761" w:themeColor="accent1" w:themeShade="BF"/>
    </w:rPr>
  </w:style>
  <w:style w:type="character" w:customStyle="1" w:styleId="60">
    <w:name w:val="כותרת 6 תו"/>
    <w:basedOn w:val="a0"/>
    <w:link w:val="6"/>
    <w:uiPriority w:val="9"/>
    <w:semiHidden/>
    <w:rsid w:val="003C0480"/>
    <w:rPr>
      <w:rFonts w:eastAsiaTheme="majorEastAsia" w:cstheme="majorBidi"/>
      <w:i/>
      <w:iCs/>
      <w:color w:val="595959" w:themeColor="text1" w:themeTint="A6"/>
    </w:rPr>
  </w:style>
  <w:style w:type="character" w:customStyle="1" w:styleId="70">
    <w:name w:val="כותרת 7 תו"/>
    <w:basedOn w:val="a0"/>
    <w:link w:val="7"/>
    <w:uiPriority w:val="9"/>
    <w:semiHidden/>
    <w:rsid w:val="003C0480"/>
    <w:rPr>
      <w:rFonts w:eastAsiaTheme="majorEastAsia" w:cstheme="majorBidi"/>
      <w:color w:val="595959" w:themeColor="text1" w:themeTint="A6"/>
    </w:rPr>
  </w:style>
  <w:style w:type="character" w:customStyle="1" w:styleId="80">
    <w:name w:val="כותרת 8 תו"/>
    <w:basedOn w:val="a0"/>
    <w:link w:val="8"/>
    <w:uiPriority w:val="9"/>
    <w:semiHidden/>
    <w:rsid w:val="003C0480"/>
    <w:rPr>
      <w:rFonts w:eastAsiaTheme="majorEastAsia" w:cstheme="majorBidi"/>
      <w:i/>
      <w:iCs/>
      <w:color w:val="272727" w:themeColor="text1" w:themeTint="D8"/>
    </w:rPr>
  </w:style>
  <w:style w:type="character" w:customStyle="1" w:styleId="90">
    <w:name w:val="כותרת 9 תו"/>
    <w:basedOn w:val="a0"/>
    <w:link w:val="9"/>
    <w:uiPriority w:val="9"/>
    <w:semiHidden/>
    <w:rsid w:val="003C0480"/>
    <w:rPr>
      <w:rFonts w:eastAsiaTheme="majorEastAsia" w:cstheme="majorBidi"/>
      <w:color w:val="272727" w:themeColor="text1" w:themeTint="D8"/>
    </w:rPr>
  </w:style>
  <w:style w:type="paragraph" w:styleId="a3">
    <w:name w:val="Title"/>
    <w:basedOn w:val="a"/>
    <w:next w:val="a"/>
    <w:link w:val="a4"/>
    <w:uiPriority w:val="10"/>
    <w:qFormat/>
    <w:rsid w:val="003C0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C04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048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C048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0480"/>
    <w:pPr>
      <w:spacing w:before="160"/>
      <w:jc w:val="center"/>
    </w:pPr>
    <w:rPr>
      <w:i/>
      <w:iCs/>
      <w:color w:val="404040" w:themeColor="text1" w:themeTint="BF"/>
    </w:rPr>
  </w:style>
  <w:style w:type="character" w:customStyle="1" w:styleId="a8">
    <w:name w:val="ציטוט תו"/>
    <w:basedOn w:val="a0"/>
    <w:link w:val="a7"/>
    <w:uiPriority w:val="29"/>
    <w:rsid w:val="003C0480"/>
    <w:rPr>
      <w:i/>
      <w:iCs/>
      <w:color w:val="404040" w:themeColor="text1" w:themeTint="BF"/>
    </w:rPr>
  </w:style>
  <w:style w:type="paragraph" w:styleId="a9">
    <w:name w:val="List Paragraph"/>
    <w:basedOn w:val="a"/>
    <w:uiPriority w:val="34"/>
    <w:qFormat/>
    <w:rsid w:val="003C0480"/>
    <w:pPr>
      <w:ind w:left="720"/>
      <w:contextualSpacing/>
    </w:pPr>
  </w:style>
  <w:style w:type="character" w:styleId="aa">
    <w:name w:val="Intense Emphasis"/>
    <w:basedOn w:val="a0"/>
    <w:uiPriority w:val="21"/>
    <w:qFormat/>
    <w:rsid w:val="003C0480"/>
    <w:rPr>
      <w:i/>
      <w:iCs/>
      <w:color w:val="0F4761" w:themeColor="accent1" w:themeShade="BF"/>
    </w:rPr>
  </w:style>
  <w:style w:type="paragraph" w:styleId="ab">
    <w:name w:val="Intense Quote"/>
    <w:basedOn w:val="a"/>
    <w:next w:val="a"/>
    <w:link w:val="ac"/>
    <w:uiPriority w:val="30"/>
    <w:qFormat/>
    <w:rsid w:val="003C0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C0480"/>
    <w:rPr>
      <w:i/>
      <w:iCs/>
      <w:color w:val="0F4761" w:themeColor="accent1" w:themeShade="BF"/>
    </w:rPr>
  </w:style>
  <w:style w:type="character" w:styleId="ad">
    <w:name w:val="Intense Reference"/>
    <w:basedOn w:val="a0"/>
    <w:uiPriority w:val="32"/>
    <w:qFormat/>
    <w:rsid w:val="003C0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1348</Characters>
  <Application>Microsoft Office Word</Application>
  <DocSecurity>0</DocSecurity>
  <Lines>32</Lines>
  <Paragraphs>26</Paragraphs>
  <ScaleCrop>false</ScaleCrop>
  <Company>Sviva.gov.il</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 טל  Uri Tal</dc:creator>
  <cp:keywords/>
  <dc:description/>
  <cp:lastModifiedBy>אורי טל  Uri Tal</cp:lastModifiedBy>
  <cp:revision>1</cp:revision>
  <dcterms:created xsi:type="dcterms:W3CDTF">2026-02-14T20:26:00Z</dcterms:created>
  <dcterms:modified xsi:type="dcterms:W3CDTF">2026-02-14T20:32:00Z</dcterms:modified>
</cp:coreProperties>
</file>